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#136</w:t>
      </w:r>
      <w:r>
        <w:rPr>
          <w:rFonts w:ascii="Arial" w:hAnsi="Arial" w:cs="Arial"/>
          <w:b/>
          <w:bCs/>
          <w:sz w:val="24"/>
          <w:lang w:val="sv-SE"/>
        </w:rPr>
        <w:tab/>
        <w:t>S2-1911280</w:t>
      </w:r>
    </w:p>
    <w:p>
      <w:pPr>
        <w:pBdr>
          <w:bottom w:val="single" w:sz="6" w:space="0" w:color="auto"/>
        </w:pBdr>
        <w:tabs>
          <w:tab w:val="right" w:pos="9638"/>
        </w:tabs>
        <w:rPr>
          <w:rFonts w:ascii="Arial" w:hAnsi="Arial" w:cs="Arial"/>
          <w:b/>
          <w:bCs/>
          <w:sz w:val="24"/>
        </w:rPr>
      </w:pPr>
      <w:r>
        <w:rPr>
          <w:rFonts w:ascii="Arial" w:hAnsi="Arial" w:cs="Arial"/>
          <w:b/>
          <w:bCs/>
          <w:sz w:val="24"/>
          <w:lang w:val="sv-SE"/>
        </w:rPr>
        <w:t>Reno, NV, USA, November 18 – 22, 2019</w:t>
      </w:r>
      <w:r>
        <w:rPr>
          <w:rFonts w:ascii="Arial" w:hAnsi="Arial" w:cs="Arial"/>
          <w:b/>
          <w:bCs/>
          <w:sz w:val="24"/>
        </w:rPr>
        <w:tab/>
        <w:t xml:space="preserve">                                              </w:t>
      </w:r>
    </w:p>
    <w:p>
      <w:pPr>
        <w:ind w:left="2127" w:hanging="2127"/>
        <w:rPr>
          <w:rFonts w:ascii="Arial" w:hAnsi="Arial" w:cs="Arial"/>
          <w:b/>
          <w:bCs/>
          <w:sz w:val="24"/>
        </w:rPr>
      </w:pPr>
      <w:r>
        <w:rPr>
          <w:rFonts w:ascii="Arial" w:hAnsi="Arial" w:cs="Arial"/>
          <w:b/>
          <w:bCs/>
          <w:sz w:val="24"/>
        </w:rPr>
        <w:t>Source:</w:t>
      </w:r>
      <w:r>
        <w:rPr>
          <w:rFonts w:ascii="Arial" w:hAnsi="Arial" w:cs="Arial"/>
          <w:b/>
          <w:bCs/>
          <w:sz w:val="24"/>
        </w:rPr>
        <w:tab/>
        <w:t>Huawei, Hisilicon</w:t>
      </w:r>
    </w:p>
    <w:p>
      <w:pPr>
        <w:ind w:left="2127" w:hanging="2127"/>
        <w:rPr>
          <w:rFonts w:ascii="Arial" w:hAnsi="Arial" w:cs="Arial"/>
          <w:b/>
          <w:lang w:val="en-US" w:eastAsia="zh-CN"/>
        </w:rPr>
      </w:pPr>
      <w:r>
        <w:rPr>
          <w:rFonts w:ascii="Arial" w:hAnsi="Arial" w:cs="Arial"/>
          <w:b/>
        </w:rPr>
        <w:t>Title:</w:t>
      </w:r>
      <w:r>
        <w:rPr>
          <w:rFonts w:ascii="Arial" w:hAnsi="Arial" w:cs="Arial"/>
          <w:b/>
        </w:rPr>
        <w:tab/>
        <w:t>Group ID and Set ID</w:t>
      </w:r>
    </w:p>
    <w:p>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pPr>
        <w:ind w:left="2127" w:hanging="2127"/>
        <w:rPr>
          <w:rFonts w:ascii="Arial" w:hAnsi="Arial" w:cs="Arial"/>
          <w:b/>
          <w:lang w:eastAsia="zh-CN"/>
        </w:rPr>
      </w:pPr>
      <w:r>
        <w:rPr>
          <w:rFonts w:ascii="Arial" w:hAnsi="Arial" w:cs="Arial"/>
          <w:b/>
        </w:rPr>
        <w:t>Agenda Item:</w:t>
      </w:r>
      <w:r>
        <w:rPr>
          <w:rFonts w:ascii="Arial" w:hAnsi="Arial" w:cs="Arial"/>
          <w:b/>
        </w:rPr>
        <w:tab/>
        <w:t>7.8</w:t>
      </w:r>
    </w:p>
    <w:p>
      <w:pPr>
        <w:ind w:left="2127" w:hanging="2127"/>
        <w:rPr>
          <w:rFonts w:ascii="Arial" w:eastAsia="MS Mincho" w:hAnsi="Arial" w:cs="Arial"/>
          <w:b/>
        </w:rPr>
      </w:pPr>
      <w:r>
        <w:rPr>
          <w:rFonts w:ascii="Arial" w:hAnsi="Arial" w:cs="Arial"/>
          <w:b/>
        </w:rPr>
        <w:t>Work Item / Release:</w:t>
      </w:r>
      <w:r>
        <w:rPr>
          <w:rFonts w:ascii="Arial" w:hAnsi="Arial" w:cs="Arial"/>
          <w:b/>
        </w:rPr>
        <w:tab/>
        <w:t>5G_eSBA/ Rel-16</w:t>
      </w:r>
    </w:p>
    <w:p>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 xml:space="preserve">This contribution discuss the relationship between UDM/UDR/AUSF/PCF group vs. UDM/UDR/AUSF/PCF set. </w:t>
      </w:r>
    </w:p>
    <w:p>
      <w:pPr>
        <w:pStyle w:val="1"/>
        <w:numPr>
          <w:ilvl w:val="0"/>
          <w:numId w:val="1"/>
        </w:numPr>
        <w:ind w:left="426" w:hanging="426"/>
      </w:pPr>
      <w:r>
        <w:t>Introduction</w:t>
      </w:r>
    </w:p>
    <w:p>
      <w:pPr>
        <w:rPr>
          <w:rFonts w:eastAsia="MS Mincho"/>
        </w:rPr>
      </w:pPr>
      <w:r>
        <w:rPr>
          <w:rFonts w:eastAsia="MS Mincho"/>
        </w:rPr>
        <w:t xml:space="preserve">In S2#134 meeting it has agreed that one UDM/UDR/AUSF/PCF group may have one or multiple sets, i.e. 1:N. After further consideration, we found that the agreement introduce some problem to the system. </w:t>
      </w:r>
    </w:p>
    <w:p>
      <w:pPr>
        <w:pStyle w:val="1"/>
        <w:numPr>
          <w:ilvl w:val="0"/>
          <w:numId w:val="1"/>
        </w:numPr>
        <w:ind w:left="426" w:hanging="426"/>
      </w:pPr>
      <w:r>
        <w:t>Discussion</w:t>
      </w:r>
    </w:p>
    <w:p>
      <w:pPr>
        <w:rPr>
          <w:rFonts w:eastAsia="MS Mincho"/>
        </w:rPr>
      </w:pPr>
      <w:r>
        <w:rPr>
          <w:rFonts w:eastAsia="MS Mincho"/>
        </w:rPr>
        <w:t xml:space="preserve">For Rel-15 NF consumer when they first time query NRF, they can get the GROUP of selected UDM/UDR/AUSF/PCF belonged to. The UDM/UDR/AUSF/PCF does not return the specific resource URI. In the following interaction with UDM/UDR/AUSF/PCF, the NF consumer will use the returned group information to determine which NF producer is to be communicated, i.e. the NF producer with the same group ID. So if the1:N Set is introduced to UDM/UDR/AUSF/PCF, the Rel-15 NF consumer may interact with a UDM/UDR/AUSF/PCF instance in different Set.  </w:t>
      </w:r>
    </w:p>
    <w:p>
      <w:pPr>
        <w:rPr>
          <w:rFonts w:eastAsia="MS Mincho"/>
        </w:rPr>
      </w:pPr>
      <w:r>
        <w:rPr>
          <w:rFonts w:eastAsia="MS Mincho"/>
        </w:rPr>
        <w:t xml:space="preserve">According to Set definition, NFs within the same set shares the context information.​ For NF across different set, there is no such assumption, e.g. the NF instance within the NF set 1 does not share contexts with the NF instance within the NF set 2. </w:t>
      </w:r>
    </w:p>
    <w:p>
      <w:pPr>
        <w:rPr>
          <w:rFonts w:eastAsia="MS Mincho"/>
          <w:b/>
        </w:rPr>
      </w:pPr>
      <w:r>
        <w:rPr>
          <w:rFonts w:eastAsia="MS Mincho" w:hint="eastAsia"/>
          <w:b/>
        </w:rPr>
        <w:t xml:space="preserve">UDR: </w:t>
      </w:r>
    </w:p>
    <w:p>
      <w:pPr>
        <w:rPr>
          <w:rFonts w:eastAsia="MS Mincho"/>
        </w:rPr>
      </w:pPr>
      <w:r>
        <w:rPr>
          <w:rFonts w:eastAsia="MS Mincho"/>
        </w:rPr>
        <w:t>UDR store</w:t>
      </w:r>
      <w:r>
        <w:t xml:space="preserve"> </w:t>
      </w:r>
      <w:r>
        <w:rPr>
          <w:rFonts w:eastAsia="MS Mincho"/>
        </w:rPr>
        <w:t xml:space="preserve">Subscription Data, Policy Data, Application data and Data for Exposure. Assuming the 1:N Set concept is introduced into the UDR NF. For the subscription data it always need be pre-configured in one UDR instance within a UDR Set. So it can be assumed all related data for one UE shall be stored on this pre-configured UDR Set, e.g. UDR Set1. </w:t>
      </w:r>
    </w:p>
    <w:p>
      <w:pPr>
        <w:rPr>
          <w:rFonts w:eastAsia="MS Mincho"/>
        </w:rPr>
      </w:pPr>
      <w:r>
        <w:rPr>
          <w:rFonts w:eastAsia="MS Mincho"/>
        </w:rPr>
        <w:t xml:space="preserve">Now if there are one Rel-15 NF which does not support Set concept, it may interact with another UDR Set per group information, e.g. UDR Set2. In this case the UDR Set2 may return a failure response for the invoked service operation if it cannot retrieve the UDR Set1 information from the invoked service operation. Also considering the UDR is DB no service logic it is questionable whether the UDR should support to </w:t>
      </w:r>
      <w:r>
        <w:rPr>
          <w:rFonts w:eastAsia="MS Mincho"/>
        </w:rPr>
        <w:t xml:space="preserve">retrieve the UDR Set1 information </w:t>
      </w:r>
      <w:r>
        <w:rPr>
          <w:rFonts w:eastAsia="MS Mincho"/>
        </w:rPr>
        <w:t>if</w:t>
      </w:r>
      <w:r>
        <w:rPr>
          <w:rFonts w:eastAsia="MS Mincho"/>
        </w:rPr>
        <w:t xml:space="preserve"> the invoked service operation</w:t>
      </w:r>
      <w:r>
        <w:rPr>
          <w:rFonts w:eastAsia="MS Mincho"/>
        </w:rPr>
        <w:t xml:space="preserve"> include the related information. So the NF consumer regard it as no such subscriber even indeed the communicated UDR Set is not the correct one.       </w:t>
      </w:r>
    </w:p>
    <w:p>
      <w:pPr>
        <w:rPr>
          <w:rFonts w:eastAsia="MS Mincho"/>
          <w:b/>
        </w:rPr>
      </w:pPr>
      <w:r>
        <w:rPr>
          <w:rFonts w:eastAsia="MS Mincho" w:hint="eastAsia"/>
          <w:b/>
        </w:rPr>
        <w:t>UDM</w:t>
      </w:r>
      <w:r>
        <w:rPr>
          <w:rFonts w:eastAsia="MS Mincho"/>
          <w:b/>
        </w:rPr>
        <w:t xml:space="preserve">: </w:t>
      </w:r>
    </w:p>
    <w:p>
      <w:pPr>
        <w:rPr>
          <w:rFonts w:eastAsia="MS Mincho"/>
        </w:rPr>
      </w:pPr>
      <w:r>
        <w:rPr>
          <w:rFonts w:eastAsia="MS Mincho"/>
        </w:rPr>
        <w:t>The UDM may store the UE context into UDR or cache it locally. If the 1:N UDM Set is introduced, the UDM instance in different UDM Set can be selected.</w:t>
      </w:r>
    </w:p>
    <w:p>
      <w:pPr>
        <w:rPr>
          <w:rFonts w:eastAsia="MS Mincho"/>
        </w:rPr>
      </w:pPr>
      <w:r>
        <w:rPr>
          <w:rFonts w:eastAsia="MS Mincho"/>
        </w:rPr>
        <w:t>Currently the Event subscription related information, e.g. Event subscription from NEF, is not stored at the UDR. So if the UDM instance in different UDM Set is selected the Event subscription related information is always lost.</w:t>
      </w:r>
    </w:p>
    <w:p>
      <w:pPr>
        <w:rPr>
          <w:rFonts w:eastAsia="MS Mincho"/>
          <w:b/>
        </w:rPr>
      </w:pPr>
      <w:r>
        <w:rPr>
          <w:rFonts w:eastAsia="MS Mincho"/>
          <w:b/>
        </w:rPr>
        <w:t>AUSF/PCF:</w:t>
      </w:r>
    </w:p>
    <w:p>
      <w:pPr>
        <w:rPr>
          <w:rFonts w:eastAsia="MS Mincho"/>
        </w:rPr>
      </w:pPr>
      <w:r>
        <w:rPr>
          <w:rFonts w:eastAsia="MS Mincho"/>
        </w:rPr>
        <w:t xml:space="preserve">For AUSF/PCF it is possible to use AUSF/PCF instance in different Set if they can get the data from the same UDR. However if we want to get the AUSF/PCF Set benefit, the Set information need be transferred among AMF. So how to handle the case if the network mix the Rel-15 AMF with Rel-16 AMF, i.e. the Set information may be lost?     </w:t>
      </w:r>
    </w:p>
    <w:p>
      <w:pPr>
        <w:rPr>
          <w:rFonts w:eastAsia="MS Mincho"/>
        </w:rPr>
      </w:pPr>
    </w:p>
    <w:p>
      <w:pPr>
        <w:rPr>
          <w:rFonts w:eastAsia="MS Mincho"/>
        </w:rPr>
      </w:pPr>
      <w:r>
        <w:rPr>
          <w:rFonts w:eastAsia="MS Mincho"/>
        </w:rPr>
        <w:lastRenderedPageBreak/>
        <w:t>However</w:t>
      </w:r>
      <w:bookmarkStart w:id="0" w:name="_GoBack"/>
      <w:bookmarkEnd w:id="0"/>
      <w:r>
        <w:rPr>
          <w:rFonts w:eastAsia="MS Mincho"/>
        </w:rPr>
        <w:t xml:space="preserve"> if we define the GROUP same as Set, i.e. 1:1 mapping, it does not remove the benefit of the NF Set for Rel-16 NF consumer. In addition the NF Set can work smoothly with the Rel-15 NF consumer. </w:t>
      </w:r>
    </w:p>
    <w:p>
      <w:pPr>
        <w:pStyle w:val="1"/>
        <w:numPr>
          <w:ilvl w:val="0"/>
          <w:numId w:val="1"/>
        </w:numPr>
        <w:ind w:left="426" w:hanging="426"/>
      </w:pPr>
      <w:r>
        <w:t>Conclusion</w:t>
      </w:r>
    </w:p>
    <w:p>
      <w:pPr>
        <w:rPr>
          <w:rFonts w:eastAsia="MS Mincho"/>
        </w:rPr>
      </w:pPr>
      <w:r>
        <w:rPr>
          <w:rFonts w:eastAsia="MS Mincho"/>
        </w:rPr>
        <w:t>From above analysis, it is proposed to clarify that for UDM/UDR/AUSF, the mapping between the Group and Set is 1:1, i.e. one Group is only associated with one Set. Corresponding CR is documented in S2-1911281.</w:t>
      </w:r>
    </w:p>
    <w:sectPr>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2851" w:h="244" w:hRule="exact" w:wrap="around" w:vAnchor="text" w:hAnchor="page" w:x="1156" w:y="-1"/>
      <w:rPr>
        <w:rFonts w:ascii="Arial" w:hAnsi="Arial" w:cs="Arial"/>
        <w:b/>
        <w:bCs/>
        <w:sz w:val="18"/>
      </w:rPr>
    </w:pPr>
    <w:r>
      <w:rPr>
        <w:rFonts w:ascii="Arial" w:hAnsi="Arial" w:cs="Arial"/>
        <w:b/>
        <w:bCs/>
        <w:sz w:val="18"/>
      </w:rPr>
      <w:t>SA WG2 Temporary Document</w:t>
    </w:r>
  </w:p>
  <w:p>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3"/>
  </w:num>
  <w:num w:numId="4">
    <w:abstractNumId w:val="12"/>
  </w:num>
  <w:num w:numId="5">
    <w:abstractNumId w:val="3"/>
  </w:num>
  <w:num w:numId="6">
    <w:abstractNumId w:val="5"/>
  </w:num>
  <w:num w:numId="7">
    <w:abstractNumId w:val="9"/>
  </w:num>
  <w:num w:numId="8">
    <w:abstractNumId w:val="0"/>
  </w:num>
  <w:num w:numId="9">
    <w:abstractNumId w:val="4"/>
  </w:num>
  <w:num w:numId="10">
    <w:abstractNumId w:val="16"/>
  </w:num>
  <w:num w:numId="11">
    <w:abstractNumId w:val="11"/>
  </w:num>
  <w:num w:numId="12">
    <w:abstractNumId w:val="15"/>
  </w:num>
  <w:num w:numId="13">
    <w:abstractNumId w:val="2"/>
  </w:num>
  <w:num w:numId="14">
    <w:abstractNumId w:val="7"/>
  </w:num>
  <w:num w:numId="15">
    <w:abstractNumId w:val="8"/>
  </w:num>
  <w:num w:numId="16">
    <w:abstractNumId w:val="1"/>
  </w:num>
  <w:num w:numId="1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 作者 1</cp:lastModifiedBy>
  <cp:revision>16</cp:revision>
  <dcterms:created xsi:type="dcterms:W3CDTF">2019-10-26T07:22:00Z</dcterms:created>
  <dcterms:modified xsi:type="dcterms:W3CDTF">2019-11-08T14:18:00Z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(3)Jw4g6/DU9V73ODWOu+39vgUD8tlSRnne02MdDhfAfHYbl231nvQwpA7kxEnsgm9FvDPWSmBy
9GjMI9kXBXAa1VFTEXrzBFxOfTbAb+f5DdbCbOTUbKOYPTN0Ygb7WzKhbpA2jeJegi+cS9m/
qIXCH5UVArHViME0D6LULArgDk/vAMez+QRvuZDE216C8ab9bw2dDxgXYZNrxoUCQ5NkDmsn
KfszeqC8b193uRsZQ5</vt:lpwstr>
  </property>
  <property fmtid="{D5CDD505-2E9C-101B-9397-08002B2CF9AE}" pid="3" name="_2015_ms_pID_7253431">
    <vt:lpwstr>tOMqrehFpeRKCaDSl/ZHCPjPTMHTaGpNiAPq0RHSAI6E5TOHmkU6A4
abdk1Z4xubDpG8bEjsD/O6Ms9+dr/TJypH1HXMo1Sfz3yfUSQz+DXXQEAtUQCuR7MBEM2mO4
Z+z/m9MF/tQ5eJnn92qU8sQhAu166RZtordxk0rCms8BoLIMrTsBQrRjOxcJj0p3537kZ8RO
yVfL+7EvaYDt/rp92cbjxslNo9b1Np4KwejD</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1572523784</vt:lpwstr>
  </property>
</Properties>
</file>